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1D66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</w:p>
    <w:p w14:paraId="3C3BBD34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sz w:val="24"/>
          <w:szCs w:val="24"/>
        </w:rPr>
        <w:pict w14:anchorId="1D941840">
          <v:rect id="_x0000_i1025" style="width:0;height:0" o:hrstd="t" o:hr="t" fillcolor="#a0a0a0" stroked="f"/>
        </w:pict>
      </w:r>
    </w:p>
    <w:p w14:paraId="68FB216A" w14:textId="735ACF82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заңнаманың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ерекшеліктеріне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негізделетін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,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жауапкершілігінің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білімдердің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31771DE5" w14:textId="7DD799BF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sz w:val="24"/>
          <w:szCs w:val="24"/>
          <w:lang w:val="kk-KZ"/>
        </w:rPr>
        <w:t xml:space="preserve">Қағидалар Қазақстан Республикасының Азаматтық кодексіне сәйкес жария оферта шартының бір түрі болып табылады.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келіскенін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растаған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ескертулерсіз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ерекшеліктерсіз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63034549" w14:textId="5332276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Преамбула:</w:t>
      </w:r>
    </w:p>
    <w:p w14:paraId="220B72BF" w14:textId="461E6D5D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актілер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талаптарының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табылмайды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келісуі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заңнамасының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жауапкершіліктен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босатпайды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7947B2E" w14:textId="1856658D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заңнама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мен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жетілу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процестеріне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өзгеруі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өзгерістері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тараппен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келісілмей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сәтінен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енеді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08DF7523" w14:textId="458280C1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20 - 3.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Қағидалардағы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кабинетіндегі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таспасына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хабарламаны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хабарлануы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6D76AC8" w14:textId="3A923E3C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20 - 4.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өзгерістерімен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келіспеген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кезектен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қайтарып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қолданылуын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тоқтатуға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24C54C39" w14:textId="176A60A3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кабинеттің тағайындалуы және ашылуы:</w:t>
      </w:r>
    </w:p>
    <w:p w14:paraId="5731B5A8" w14:textId="670A02B6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20 - 5.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кабинет —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кеңістігі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баласына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архивтік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қызметтегі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анонимді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авторизациялауды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командалары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164FDDB" w14:textId="0616F47C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20 - 6.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кабинет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кезекте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жұмысында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баратын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өкілдеріне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7B262A5D" w14:textId="39ADEFE5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20 - 7. </w:t>
      </w:r>
      <w:r w:rsidRPr="005D7646">
        <w:rPr>
          <w:rFonts w:ascii="Times New Roman" w:hAnsi="Times New Roman" w:cs="Times New Roman"/>
          <w:sz w:val="24"/>
          <w:szCs w:val="24"/>
        </w:rPr>
        <w:t xml:space="preserve">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кезекке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автоматтық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ашылуы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мәліметтерімен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баптаулары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өзінде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023424CE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20 - 8.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автоматтық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25749F6C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</w:p>
    <w:p w14:paraId="61963ABF" w14:textId="60D8FC88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7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Қауіпсіздікті</w:t>
      </w:r>
      <w:proofErr w:type="spellEnd"/>
      <w:r w:rsidRPr="005D7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b/>
          <w:bCs/>
          <w:sz w:val="24"/>
          <w:szCs w:val="24"/>
        </w:rPr>
        <w:t>шектеу</w:t>
      </w:r>
      <w:proofErr w:type="spellEnd"/>
      <w:r w:rsidRPr="005D76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1DDC7E" w14:textId="7F5CCD29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20 - 9.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мен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браузерлерден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параллельді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сессияға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7A557E34" w14:textId="2637A358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20 - 10.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Авторизациядан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30 минут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автоматтық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үзіледі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3CD77944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20 - 11.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кабинет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куәліктерінің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мәліметтеріне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кезекке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мән-жайлары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:</w:t>
      </w:r>
    </w:p>
    <w:p w14:paraId="31540098" w14:textId="77777777" w:rsidR="005D7646" w:rsidRPr="005D7646" w:rsidRDefault="005D7646" w:rsidP="005D76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инициализация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телефонның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нөмірін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7EA7875B" w14:textId="77777777" w:rsidR="005D7646" w:rsidRPr="005D7646" w:rsidRDefault="005D7646" w:rsidP="005D76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құпиясөздерді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қолжетімділікті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келтіруге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7C009A7A" w14:textId="77777777" w:rsidR="005D7646" w:rsidRPr="005D7646" w:rsidRDefault="005D7646" w:rsidP="005D76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ата-анадан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басқасына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рәсімдеуге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3E33343B" w14:textId="77777777" w:rsidR="005D7646" w:rsidRPr="005D7646" w:rsidRDefault="005D7646" w:rsidP="005D76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жүктеуге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болатындай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келтіріледі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4D67834A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</w:p>
    <w:p w14:paraId="70942913" w14:textId="3F822DC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Жеке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функцияларына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оның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құжаттарымен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жұмыс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жасауға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өтініштер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жолдамалар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т.б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қол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жеткізудің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барлық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туындайтын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салдарларымен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Қажет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болған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жағдайда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тізбектелген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операцияларды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бұғаттай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алады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оларға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тыйым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сала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алады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EA6E4A" w14:textId="0022F7B9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20 - 12.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кабинет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иесіне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тиесілі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нөмірлерін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62636E2" w14:textId="5886322C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20 - 13.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мобильді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нөмірлерін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0DB355EB" w14:textId="2F3FA425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20 - 14.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тіркеулік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құпиясөздерді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мәжбүрлеп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иемдену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біреулерге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293C6863" w14:textId="3788DF5B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i/>
          <w:iCs/>
          <w:sz w:val="24"/>
          <w:szCs w:val="24"/>
          <w:lang w:val="kk-KZ"/>
        </w:rPr>
        <w:t>Пайдаланушының жеке кабинетінде жүргізілген іс-әрекеттер үшін бүкіл жауапкершілік, оларды кім жүргізсе де, жеке кабинеттің иесіне жүктеледі.</w:t>
      </w:r>
    </w:p>
    <w:p w14:paraId="1F87013D" w14:textId="18ED7D94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20 - 15.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бұзуға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ұзын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құпиясөздерді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BEEE08F" w14:textId="69F7503C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20 - 16.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60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минуттың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құпиясөздің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қатарынан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Кабинет 4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сағатқа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автоматтық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тасталады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тәулікте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бұғатталуы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ұзақтығының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кезеңін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сағатқа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ұлғайтады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7629A9E2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20 - 17.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Төменде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тізбектелген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мәліметтердің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қатарынан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:</w:t>
      </w:r>
    </w:p>
    <w:p w14:paraId="37673E6F" w14:textId="77777777" w:rsidR="005D7646" w:rsidRPr="005D7646" w:rsidRDefault="005D7646" w:rsidP="005D76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lastRenderedPageBreak/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инициализация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телефонның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нөмірін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0ED30191" w14:textId="77777777" w:rsidR="005D7646" w:rsidRPr="005D7646" w:rsidRDefault="005D7646" w:rsidP="005D76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құпиясөздерді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қолжетімділікті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4FEFD7F7" w14:textId="77777777" w:rsidR="005D7646" w:rsidRPr="005D7646" w:rsidRDefault="005D7646" w:rsidP="005D76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ата-анадан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басқасына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;</w:t>
      </w:r>
    </w:p>
    <w:p w14:paraId="3F3CF2BA" w14:textId="77777777" w:rsidR="005D7646" w:rsidRPr="005D7646" w:rsidRDefault="005D7646" w:rsidP="005D764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203894CD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Кабинет 4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сағатқа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бұғатталады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автоматтық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түрде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алынып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тасталады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Дәл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сол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тәулікте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келесі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бұғатталуы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бұғаттау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ұзақтығының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кезеңін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сағатқа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дейін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ұлғайтады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B13E09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20 - 18.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табылмайтын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иесі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табылмайтын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бөтен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кезекке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жолдама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заңнама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осы оферта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бұзуы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боттарды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,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жинақталатын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қолжетімділікті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,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өндірушінің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рұқсатынсыз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скриндерін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суреттерін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контентін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6 ай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мерзіміне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  <w:r w:rsidRPr="005D7646">
        <w:rPr>
          <w:rFonts w:ascii="Times New Roman" w:hAnsi="Times New Roman" w:cs="Times New Roman"/>
          <w:sz w:val="24"/>
          <w:szCs w:val="24"/>
        </w:rPr>
        <w:br/>
      </w:r>
      <w:r w:rsidRPr="005D764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Бұзушылықтардың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мән-жайлары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өтініштер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түсініктемелер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бұғатталуын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мерзімінен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тастауға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негіздеме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6BA5B6A2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</w:p>
    <w:p w14:paraId="5E484253" w14:textId="4FCDF3D9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20 - 19.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заңнама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ден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шараларына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оферта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ережелерінің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бұзуының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ескіру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дәлелдер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4DE9437" w14:textId="2B10B4CF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кабинетке кіру үшін құрылғыны тіркеу:</w:t>
      </w:r>
    </w:p>
    <w:p w14:paraId="7808F925" w14:textId="3AF52F08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20 - 20.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инициализациясы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кіргенде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құрылғыны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тіркеуді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ұялы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телефонмен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компьютермен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планшетпен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кіруге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браузермен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байланыстырады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браузерден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еш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54E0A8A8" w14:textId="65EA20EB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20 - 21.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жоғалған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бұзылған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ортанылған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әрекеттері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құрылғыны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кабинетпен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байланыстыру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операцияға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76A4634A" w14:textId="6B1A2AD5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ретте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мынадай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шектеулер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бар.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Құрылғының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әрбір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кейінгі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тіркелуі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қайта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тіркелуі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алдыңғы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тіркеу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жүзеге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асырылған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сәттен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бастап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күнтізбелік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5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күннен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бұрын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жүргізілмейді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күнтізбелік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30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күн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ішінде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2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тіркеуден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артық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емес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910615" w14:textId="61FDB4CE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20 - 22.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Интернет-портал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пайдаланушыларды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құрылғылар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09.00-ден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18.00-ге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құрылғылармен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байланыстырылған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кабинеттерде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авторизациялануға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Егер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lastRenderedPageBreak/>
        <w:t>авторизациялау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тіркеулік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құрылғылардың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тізілімі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аккредиттейді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79279751" w14:textId="5D0E3014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7646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5D76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b/>
          <w:bCs/>
          <w:sz w:val="24"/>
          <w:szCs w:val="24"/>
        </w:rPr>
        <w:t>ережелер</w:t>
      </w:r>
      <w:proofErr w:type="spellEnd"/>
      <w:r w:rsidRPr="005D76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00988D" w14:textId="0457690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20 - 23.</w:t>
      </w:r>
      <w:r w:rsidRPr="005D7646">
        <w:rPr>
          <w:rFonts w:ascii="Times New Roman" w:hAnsi="Times New Roman" w:cs="Times New Roman"/>
          <w:sz w:val="24"/>
          <w:szCs w:val="24"/>
        </w:rPr>
        <w:t xml:space="preserve"> Егер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біреулерге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өтінішпен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көрсетушіге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жолыға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түпнұсқасын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білдіру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түпнұсқасын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мән-жайларын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өтінішті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қанағаттандырудан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тартуға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1864EC03" w14:textId="2864EB64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764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Қызмет көрсетушінің шешіміне қарамастан қызмет көрсетуші осындай оқиға туралы мәліметтерді уәкілетті органдарға ұсынуға тиіс. </w:t>
      </w:r>
      <w:r w:rsidRPr="005D7646">
        <w:rPr>
          <w:rFonts w:ascii="Times New Roman" w:hAnsi="Times New Roman" w:cs="Times New Roman"/>
          <w:i/>
          <w:iCs/>
          <w:sz w:val="24"/>
          <w:szCs w:val="24"/>
        </w:rPr>
        <w:t>Ал ө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тініш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беруші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тіркеулік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деректерін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бөтен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тұлғаларға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беру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үшін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Қазақстан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Республикасының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қолданыстағы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заңнамасына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сәйкес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жауап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i/>
          <w:iCs/>
          <w:sz w:val="24"/>
          <w:szCs w:val="24"/>
        </w:rPr>
        <w:t>береді</w:t>
      </w:r>
      <w:proofErr w:type="spellEnd"/>
      <w:r w:rsidRPr="005D76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2BEDAEC" w14:textId="77777777" w:rsidR="005D7646" w:rsidRPr="005D7646" w:rsidRDefault="005D7646" w:rsidP="005D7646">
      <w:pPr>
        <w:rPr>
          <w:rFonts w:ascii="Times New Roman" w:hAnsi="Times New Roman" w:cs="Times New Roman"/>
          <w:sz w:val="24"/>
          <w:szCs w:val="24"/>
        </w:rPr>
      </w:pPr>
      <w:r w:rsidRPr="005D7646">
        <w:rPr>
          <w:rFonts w:ascii="Times New Roman" w:hAnsi="Times New Roman" w:cs="Times New Roman"/>
          <w:b/>
          <w:bCs/>
          <w:sz w:val="24"/>
          <w:szCs w:val="24"/>
        </w:rPr>
        <w:t>20 - 24.</w:t>
      </w:r>
      <w:r w:rsidRPr="005D76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пайдаланушының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кабинетінің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кезегінен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кеткеннен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баруды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тоқтатқаннан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жалғастыра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. Жеке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кабинеттің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порталды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ұзақтығымен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646">
        <w:rPr>
          <w:rFonts w:ascii="Times New Roman" w:hAnsi="Times New Roman" w:cs="Times New Roman"/>
          <w:sz w:val="24"/>
          <w:szCs w:val="24"/>
        </w:rPr>
        <w:t>шектеледі</w:t>
      </w:r>
      <w:proofErr w:type="spellEnd"/>
      <w:r w:rsidRPr="005D7646">
        <w:rPr>
          <w:rFonts w:ascii="Times New Roman" w:hAnsi="Times New Roman" w:cs="Times New Roman"/>
          <w:sz w:val="24"/>
          <w:szCs w:val="24"/>
        </w:rPr>
        <w:t>.</w:t>
      </w:r>
    </w:p>
    <w:p w14:paraId="196BFF42" w14:textId="77777777" w:rsidR="003D746D" w:rsidRDefault="003D746D"/>
    <w:sectPr w:rsidR="003D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06FF"/>
    <w:multiLevelType w:val="multilevel"/>
    <w:tmpl w:val="0660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61121"/>
    <w:multiLevelType w:val="multilevel"/>
    <w:tmpl w:val="9D82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885476">
    <w:abstractNumId w:val="0"/>
  </w:num>
  <w:num w:numId="2" w16cid:durableId="192187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2F"/>
    <w:rsid w:val="002B402F"/>
    <w:rsid w:val="003D746D"/>
    <w:rsid w:val="005D7646"/>
    <w:rsid w:val="00B91006"/>
    <w:rsid w:val="00C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7CC7"/>
  <w15:chartTrackingRefBased/>
  <w15:docId w15:val="{BB6E3159-B5B2-48BD-93C6-BE1DD7E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0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0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0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0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0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0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0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0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0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2025-01-14T05:04:00Z</dcterms:created>
  <dcterms:modified xsi:type="dcterms:W3CDTF">2025-01-14T05:07:00Z</dcterms:modified>
</cp:coreProperties>
</file>